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E309" w14:textId="290D2132" w:rsidR="00644B21" w:rsidRPr="001F274F" w:rsidRDefault="00644B21" w:rsidP="00644B21">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#112bis-e</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490230" w:rsidRPr="00490230">
        <w:rPr>
          <w:rFonts w:ascii="Arial" w:eastAsia="Batang" w:hAnsi="Arial" w:cs="Arial"/>
          <w:b/>
          <w:bCs/>
          <w:sz w:val="24"/>
          <w:szCs w:val="24"/>
        </w:rPr>
        <w:t>R1-2303355</w:t>
      </w:r>
    </w:p>
    <w:p w14:paraId="3BF1B8F2" w14:textId="77777777" w:rsidR="00644B21" w:rsidRDefault="00644B21" w:rsidP="00644B21">
      <w:pPr>
        <w:tabs>
          <w:tab w:val="center" w:pos="4536"/>
          <w:tab w:val="right" w:pos="9072"/>
        </w:tabs>
        <w:spacing w:after="0"/>
        <w:rPr>
          <w:rFonts w:ascii="Arial" w:hAnsi="Arial" w:cs="Arial"/>
          <w:b/>
          <w:bCs/>
          <w:sz w:val="24"/>
        </w:rPr>
      </w:pPr>
      <w:r>
        <w:rPr>
          <w:rFonts w:ascii="Arial" w:hAnsi="Arial" w:cs="Arial"/>
          <w:b/>
          <w:bCs/>
          <w:sz w:val="24"/>
        </w:rPr>
        <w:t>e-Meeting, April 17</w:t>
      </w:r>
      <w:r>
        <w:rPr>
          <w:rFonts w:ascii="Arial" w:hAnsi="Arial" w:cs="Arial"/>
          <w:b/>
          <w:bCs/>
          <w:sz w:val="24"/>
          <w:vertAlign w:val="superscript"/>
        </w:rPr>
        <w:t>th</w:t>
      </w:r>
      <w:r>
        <w:rPr>
          <w:rFonts w:ascii="Arial" w:hAnsi="Arial" w:cs="Arial"/>
          <w:b/>
          <w:bCs/>
          <w:sz w:val="24"/>
        </w:rPr>
        <w:t xml:space="preserve"> – April 26</w:t>
      </w:r>
      <w:r>
        <w:rPr>
          <w:rFonts w:ascii="Arial" w:hAnsi="Arial" w:cs="Arial"/>
          <w:b/>
          <w:bCs/>
          <w:sz w:val="24"/>
          <w:vertAlign w:val="superscript"/>
        </w:rPr>
        <w:t>th</w:t>
      </w:r>
      <w:r>
        <w:rPr>
          <w:rFonts w:ascii="Arial" w:hAnsi="Arial" w:cs="Arial"/>
          <w:b/>
          <w:bCs/>
          <w:sz w:val="24"/>
        </w:rPr>
        <w:t>, 2023</w:t>
      </w:r>
    </w:p>
    <w:p w14:paraId="08D37A17" w14:textId="77777777" w:rsidR="00AD25DD" w:rsidRPr="00644B21" w:rsidRDefault="00AD25DD" w:rsidP="00572B09">
      <w:pPr>
        <w:spacing w:after="60"/>
        <w:ind w:left="1985" w:hanging="1985"/>
        <w:rPr>
          <w:rFonts w:ascii="Arial" w:hAnsi="Arial" w:cs="Arial"/>
          <w:b/>
          <w:sz w:val="22"/>
          <w:szCs w:val="22"/>
        </w:rPr>
      </w:pPr>
    </w:p>
    <w:p w14:paraId="5332155C" w14:textId="7D3ABAE0"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B776E6">
        <w:rPr>
          <w:rFonts w:ascii="Arial" w:hAnsi="Arial" w:cs="Arial"/>
          <w:b/>
          <w:sz w:val="22"/>
          <w:szCs w:val="22"/>
        </w:rPr>
        <w:t>2</w:t>
      </w:r>
      <w:r>
        <w:rPr>
          <w:rFonts w:ascii="Arial" w:hAnsi="Arial" w:cs="Arial"/>
          <w:b/>
          <w:sz w:val="22"/>
          <w:szCs w:val="22"/>
        </w:rPr>
        <w:t>.</w:t>
      </w:r>
      <w:r w:rsidR="00233E00">
        <w:rPr>
          <w:rFonts w:ascii="Arial" w:hAnsi="Arial" w:cs="Arial"/>
          <w:b/>
          <w:sz w:val="22"/>
          <w:szCs w:val="22"/>
        </w:rPr>
        <w:t>3</w:t>
      </w:r>
    </w:p>
    <w:p w14:paraId="436A5605" w14:textId="246A9D1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33AA16AD" w14:textId="682730FB"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A07097">
        <w:rPr>
          <w:rFonts w:ascii="Times New Roman" w:hAnsi="Times New Roman"/>
          <w:b w:val="0"/>
          <w:bCs/>
          <w:sz w:val="20"/>
          <w:lang w:eastAsia="zh-TW"/>
        </w:rPr>
        <w:t>2</w:t>
      </w:r>
      <w:r>
        <w:rPr>
          <w:rFonts w:ascii="Times New Roman" w:hAnsi="Times New Roman"/>
          <w:b w:val="0"/>
          <w:bCs/>
          <w:sz w:val="20"/>
          <w:lang w:eastAsia="zh-TW"/>
        </w:rPr>
        <w:t>,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355DD42C" w14:textId="77777777" w:rsidR="009E44C8" w:rsidRDefault="009E44C8" w:rsidP="009E44C8">
            <w:pPr>
              <w:ind w:left="1440" w:hanging="1440"/>
              <w:rPr>
                <w:rFonts w:eastAsia="DengXian"/>
                <w:highlight w:val="green"/>
                <w:lang w:eastAsia="zh-CN"/>
              </w:rPr>
            </w:pPr>
            <w:r>
              <w:rPr>
                <w:rFonts w:eastAsia="DengXian"/>
                <w:highlight w:val="green"/>
                <w:lang w:eastAsia="zh-CN"/>
              </w:rPr>
              <w:t>Agreement</w:t>
            </w:r>
          </w:p>
          <w:p w14:paraId="6BA15C58" w14:textId="77777777" w:rsidR="009E44C8" w:rsidRDefault="009E44C8" w:rsidP="009E44C8">
            <w:pPr>
              <w:rPr>
                <w:rFonts w:eastAsia="DengXian"/>
                <w:lang w:eastAsia="zh-CN"/>
              </w:rPr>
            </w:pPr>
            <w:r>
              <w:rPr>
                <w:rFonts w:eastAsia="DengXian"/>
                <w:lang w:eastAsia="zh-CN"/>
              </w:rPr>
              <w:t>For single TB scheduled by single DCI, support new 1-bit field for dynamic waveform indication from UL scheduling DCI.</w:t>
            </w:r>
          </w:p>
          <w:p w14:paraId="28609D4C" w14:textId="77777777" w:rsidR="009E44C8" w:rsidRDefault="009E44C8" w:rsidP="009E44C8">
            <w:pPr>
              <w:ind w:left="1440" w:hanging="1440"/>
              <w:rPr>
                <w:rFonts w:eastAsia="DengXian"/>
                <w:lang w:eastAsia="zh-CN"/>
              </w:rPr>
            </w:pPr>
            <w:r>
              <w:rPr>
                <w:rFonts w:eastAsia="DengXian"/>
                <w:lang w:eastAsia="zh-CN"/>
              </w:rPr>
              <w:t>Note: no change of the current size alignment procedure between UL DCI and DL DCI.</w:t>
            </w:r>
          </w:p>
          <w:p w14:paraId="0E4DB04E" w14:textId="77777777" w:rsidR="009E44C8" w:rsidRDefault="009E44C8" w:rsidP="009E44C8">
            <w:pPr>
              <w:jc w:val="both"/>
              <w:rPr>
                <w:u w:val="single"/>
              </w:rPr>
            </w:pPr>
            <w:r>
              <w:rPr>
                <w:u w:val="single"/>
              </w:rPr>
              <w:t>Conclusion</w:t>
            </w:r>
          </w:p>
          <w:p w14:paraId="77CE828D" w14:textId="6CCE2978" w:rsidR="009E44C8" w:rsidRDefault="009E44C8" w:rsidP="009E44C8">
            <w:pPr>
              <w:jc w:val="both"/>
            </w:pPr>
            <w:r>
              <w:t>There is no consensus to support “Dynamic waveform switching to PUSCH transmissions with a Type 2 configured grant” in R18.</w:t>
            </w:r>
          </w:p>
          <w:p w14:paraId="48734BC4" w14:textId="77777777" w:rsidR="009E44C8" w:rsidRDefault="009E44C8" w:rsidP="009E44C8">
            <w:pPr>
              <w:jc w:val="both"/>
              <w:rPr>
                <w:highlight w:val="green"/>
              </w:rPr>
            </w:pPr>
            <w:r>
              <w:rPr>
                <w:highlight w:val="green"/>
              </w:rPr>
              <w:t>Agreement</w:t>
            </w:r>
          </w:p>
          <w:p w14:paraId="32C31B0D" w14:textId="737F6D0D" w:rsidR="009E44C8" w:rsidRPr="009E44C8" w:rsidRDefault="009E44C8" w:rsidP="009E44C8">
            <w:pPr>
              <w:jc w:val="both"/>
            </w:pPr>
            <w:r>
              <w:t>Dynamic waveform switching in R18 is not applicable to PUSCH transmissions with a Type 1 configured grant.</w:t>
            </w:r>
          </w:p>
          <w:p w14:paraId="01F18623" w14:textId="77777777" w:rsidR="009E44C8" w:rsidRDefault="009E44C8" w:rsidP="009E44C8">
            <w:pPr>
              <w:ind w:left="1440" w:hanging="1440"/>
              <w:rPr>
                <w:rFonts w:ascii="Times" w:eastAsia="DengXian" w:hAnsi="Times"/>
                <w:szCs w:val="24"/>
                <w:u w:val="single"/>
                <w:lang w:eastAsia="zh-CN"/>
              </w:rPr>
            </w:pPr>
            <w:r>
              <w:rPr>
                <w:rFonts w:eastAsia="DengXian"/>
                <w:u w:val="single"/>
                <w:lang w:eastAsia="zh-CN"/>
              </w:rPr>
              <w:t>Conclusion</w:t>
            </w:r>
          </w:p>
          <w:p w14:paraId="0579587D" w14:textId="18D6C369" w:rsidR="001E3E2D" w:rsidRPr="009E44C8" w:rsidRDefault="009E44C8" w:rsidP="009E44C8">
            <w:pPr>
              <w:jc w:val="both"/>
              <w:rPr>
                <w:rFonts w:eastAsia="Batang"/>
                <w:color w:val="000000"/>
              </w:rPr>
            </w:pPr>
            <w:r>
              <w:t>The d</w:t>
            </w:r>
            <w:r>
              <w:rPr>
                <w:color w:val="000000"/>
              </w:rPr>
              <w:t>ynamic waveform indication in a DCI containing a dynamic uplink grant applies only to PUSCH transmission(s) corresponding to the dynamic uplink grant.</w:t>
            </w:r>
          </w:p>
        </w:tc>
      </w:tr>
    </w:tbl>
    <w:p w14:paraId="775FFD39" w14:textId="77777777"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34FAEEDD"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 xml:space="preserve">s on dyanmic </w:t>
      </w:r>
      <w:r w:rsidR="00BC0EB2">
        <w:rPr>
          <w:rFonts w:ascii="Times New Roman" w:hAnsi="Times New Roman"/>
          <w:b w:val="0"/>
          <w:bCs/>
          <w:sz w:val="20"/>
          <w:lang w:eastAsia="zh-TW"/>
        </w:rPr>
        <w:t xml:space="preserve">waveform </w:t>
      </w:r>
      <w:r w:rsidR="00CD0F4F">
        <w:rPr>
          <w:rFonts w:ascii="Times New Roman" w:hAnsi="Times New Roman"/>
          <w:b w:val="0"/>
          <w:bCs/>
          <w:sz w:val="20"/>
          <w:lang w:eastAsia="zh-TW"/>
        </w:rPr>
        <w:t>swi</w:t>
      </w:r>
      <w:r w:rsidR="003F5A2B">
        <w:rPr>
          <w:rFonts w:ascii="Times New Roman" w:hAnsi="Times New Roman"/>
          <w:b w:val="0"/>
          <w:bCs/>
          <w:sz w:val="20"/>
          <w:lang w:eastAsia="zh-TW"/>
        </w:rPr>
        <w:t>t</w:t>
      </w:r>
      <w:r w:rsidR="00CD0F4F">
        <w:rPr>
          <w:rFonts w:ascii="Times New Roman" w:hAnsi="Times New Roman"/>
          <w:b w:val="0"/>
          <w:bCs/>
          <w:sz w:val="20"/>
          <w:lang w:eastAsia="zh-TW"/>
        </w:rPr>
        <w:t xml:space="preserve">ching </w:t>
      </w:r>
      <w:r>
        <w:rPr>
          <w:rFonts w:ascii="Times New Roman" w:hAnsi="Times New Roman"/>
          <w:b w:val="0"/>
          <w:bCs/>
          <w:sz w:val="20"/>
          <w:lang w:eastAsia="zh-TW"/>
        </w:rPr>
        <w:t xml:space="preserve">for further NR uplink coverage enhancements. </w:t>
      </w:r>
    </w:p>
    <w:p w14:paraId="56C18353" w14:textId="72DC83ED" w:rsidR="008C7412" w:rsidRPr="00BC0EB2" w:rsidRDefault="00572B09" w:rsidP="00BC0EB2">
      <w:pPr>
        <w:pStyle w:val="Heading1"/>
        <w:jc w:val="both"/>
        <w:rPr>
          <w:lang w:eastAsia="zh-TW"/>
        </w:rPr>
      </w:pPr>
      <w:r w:rsidRPr="0030378F">
        <w:rPr>
          <w:rFonts w:cs="Arial"/>
          <w:lang w:val="en-US" w:eastAsia="zh-TW"/>
        </w:rPr>
        <w:t>Discussion</w:t>
      </w:r>
    </w:p>
    <w:p w14:paraId="21E4318D" w14:textId="77777777" w:rsidR="00E75FD3" w:rsidRDefault="00E75FD3" w:rsidP="00E75FD3">
      <w:pPr>
        <w:pStyle w:val="Heading2"/>
      </w:pPr>
      <w:bookmarkStart w:id="0" w:name="_Hlk118460272"/>
      <w:r>
        <w:t>Application scenarios/formats for switching</w:t>
      </w:r>
    </w:p>
    <w:p w14:paraId="4A4DB21B" w14:textId="77777777" w:rsidR="00E75FD3" w:rsidRDefault="00E75FD3" w:rsidP="00E75FD3">
      <w:pPr>
        <w:spacing w:after="0"/>
        <w:jc w:val="both"/>
        <w:rPr>
          <w:color w:val="000000"/>
        </w:rPr>
      </w:pPr>
      <w:r>
        <w:rPr>
          <w:color w:val="000000"/>
        </w:rPr>
        <w:t xml:space="preserve">In terms of application for waveform switching, current RRC parameters can be used to switch UE between DFT-S-OFDM and CP-OFDM. </w:t>
      </w:r>
    </w:p>
    <w:p w14:paraId="21B6A561" w14:textId="77777777" w:rsidR="00E75FD3" w:rsidRPr="00C06181" w:rsidRDefault="00E75FD3" w:rsidP="00E75FD3">
      <w:pPr>
        <w:pStyle w:val="ListParagraph"/>
        <w:numPr>
          <w:ilvl w:val="0"/>
          <w:numId w:val="38"/>
        </w:numPr>
        <w:jc w:val="both"/>
        <w:rPr>
          <w:color w:val="000000"/>
        </w:rPr>
      </w:pPr>
      <w:r w:rsidRPr="00C06181">
        <w:rPr>
          <w:i/>
          <w:iCs/>
          <w:color w:val="000000"/>
        </w:rPr>
        <w:t>pusch-config</w:t>
      </w:r>
    </w:p>
    <w:p w14:paraId="76F33F78" w14:textId="77777777" w:rsidR="00E75FD3" w:rsidRPr="00C06181" w:rsidRDefault="00E75FD3" w:rsidP="00E75FD3">
      <w:pPr>
        <w:pStyle w:val="ListParagraph"/>
        <w:numPr>
          <w:ilvl w:val="0"/>
          <w:numId w:val="38"/>
        </w:numPr>
        <w:jc w:val="both"/>
        <w:rPr>
          <w:color w:val="000000"/>
        </w:rPr>
      </w:pPr>
      <w:r w:rsidRPr="00C06181">
        <w:rPr>
          <w:i/>
          <w:iCs/>
          <w:color w:val="000000"/>
        </w:rPr>
        <w:t>transformPrecoder in configuredGrantConfig IE</w:t>
      </w:r>
    </w:p>
    <w:p w14:paraId="6CD6D880" w14:textId="77777777" w:rsidR="00E75FD3" w:rsidRPr="00C06181" w:rsidRDefault="00E75FD3" w:rsidP="00E75FD3">
      <w:pPr>
        <w:pStyle w:val="ListParagraph"/>
        <w:numPr>
          <w:ilvl w:val="0"/>
          <w:numId w:val="38"/>
        </w:numPr>
        <w:jc w:val="both"/>
        <w:rPr>
          <w:color w:val="000000"/>
        </w:rPr>
      </w:pPr>
      <w:r w:rsidRPr="00C06181">
        <w:rPr>
          <w:i/>
          <w:iCs/>
          <w:color w:val="000000"/>
        </w:rPr>
        <w:t>msg3-transformPrecoder</w:t>
      </w:r>
    </w:p>
    <w:p w14:paraId="093C94B9" w14:textId="77777777" w:rsidR="00E75FD3" w:rsidRPr="00C06181" w:rsidRDefault="00E75FD3" w:rsidP="00E75FD3">
      <w:pPr>
        <w:pStyle w:val="ListParagraph"/>
        <w:numPr>
          <w:ilvl w:val="0"/>
          <w:numId w:val="38"/>
        </w:numPr>
        <w:jc w:val="both"/>
        <w:rPr>
          <w:color w:val="000000"/>
        </w:rPr>
      </w:pPr>
      <w:r w:rsidRPr="00C06181">
        <w:rPr>
          <w:i/>
          <w:iCs/>
          <w:color w:val="000000"/>
        </w:rPr>
        <w:t>msgA-transformPrecoder</w:t>
      </w:r>
    </w:p>
    <w:p w14:paraId="7422382C" w14:textId="77777777" w:rsidR="00E75FD3" w:rsidRDefault="00E75FD3" w:rsidP="00E75FD3">
      <w:pPr>
        <w:spacing w:after="0"/>
        <w:jc w:val="both"/>
        <w:rPr>
          <w:color w:val="000000"/>
        </w:rPr>
      </w:pPr>
    </w:p>
    <w:p w14:paraId="5FD1EE50" w14:textId="77777777" w:rsidR="00E75FD3" w:rsidRPr="009E44C8" w:rsidRDefault="00E75FD3" w:rsidP="00E75FD3">
      <w:pPr>
        <w:spacing w:after="0"/>
        <w:jc w:val="both"/>
        <w:rPr>
          <w:color w:val="000000"/>
        </w:rPr>
      </w:pPr>
      <w:r>
        <w:rPr>
          <w:color w:val="000000"/>
        </w:rPr>
        <w:t xml:space="preserve">The first parameter in the list configures dynamic uplink grants whereas the second parameter configures uplink configured grants. The third and the fourth RRC parameters above configure PUSCH for RACH procedure. The benefit for dynamic waveform switching for msg3 or for msgA is not clear. The new functionality can be limited to normal dynamic PUSCH grants and for configured uplink grants. </w:t>
      </w:r>
    </w:p>
    <w:p w14:paraId="13B0567F" w14:textId="77777777" w:rsidR="00E75FD3" w:rsidRDefault="00E75FD3" w:rsidP="00E75FD3">
      <w:pPr>
        <w:rPr>
          <w:lang w:val="en-GB"/>
        </w:rPr>
      </w:pPr>
      <w:r>
        <w:rPr>
          <w:lang w:val="en-GB"/>
        </w:rPr>
        <w:t xml:space="preserve">As for the DCI formats that support dynamic waveform switching, it was agreed in RAN1-110b-e that at least DCI format 0_1 and format 0_2 are supported. In our view, this is sufficient as the benefit of supporting fallback DCI is not clear.  </w:t>
      </w:r>
    </w:p>
    <w:p w14:paraId="6EF2FB09" w14:textId="77777777" w:rsidR="00E75FD3" w:rsidRDefault="00E75FD3" w:rsidP="00E75FD3">
      <w:pPr>
        <w:rPr>
          <w:lang w:val="en-GB"/>
        </w:rPr>
      </w:pPr>
      <w:r>
        <w:rPr>
          <w:lang w:val="en-GB"/>
        </w:rPr>
        <w:lastRenderedPageBreak/>
        <w:t>We propose the following for supported DCI formats:</w:t>
      </w:r>
    </w:p>
    <w:p w14:paraId="459FE36A" w14:textId="4FFC42DF" w:rsidR="00E75FD3" w:rsidRDefault="00E75FD3" w:rsidP="00E75FD3">
      <w:pPr>
        <w:spacing w:after="0"/>
        <w:jc w:val="both"/>
        <w:rPr>
          <w:b/>
          <w:lang w:eastAsia="zh-TW"/>
        </w:rPr>
      </w:pPr>
      <w:r>
        <w:rPr>
          <w:b/>
          <w:lang w:eastAsia="zh-TW"/>
        </w:rPr>
        <w:t>Proposal 1</w:t>
      </w:r>
      <w:r w:rsidRPr="001F274F">
        <w:rPr>
          <w:b/>
          <w:lang w:eastAsia="zh-TW"/>
        </w:rPr>
        <w:t xml:space="preserve">: </w:t>
      </w:r>
      <w:r>
        <w:rPr>
          <w:b/>
          <w:lang w:eastAsia="zh-TW"/>
        </w:rPr>
        <w:t xml:space="preserve">Do not support DCI format 0_0 for triggering dynamic waveform switching. </w:t>
      </w:r>
    </w:p>
    <w:p w14:paraId="101A3624" w14:textId="77777777" w:rsidR="00E75FD3" w:rsidRPr="00E75FD3" w:rsidRDefault="00E75FD3" w:rsidP="00E75FD3">
      <w:pPr>
        <w:spacing w:after="0"/>
        <w:jc w:val="both"/>
        <w:rPr>
          <w:color w:val="000000"/>
        </w:rPr>
      </w:pPr>
    </w:p>
    <w:p w14:paraId="571FF5EE" w14:textId="6E1C1008" w:rsidR="008C7412" w:rsidRDefault="00FB5D48" w:rsidP="00FB5D48">
      <w:pPr>
        <w:pStyle w:val="Heading2"/>
      </w:pPr>
      <w:r>
        <w:t xml:space="preserve">DCI </w:t>
      </w:r>
      <w:r w:rsidR="009E44C8">
        <w:t>size alignment</w:t>
      </w:r>
    </w:p>
    <w:bookmarkEnd w:id="0"/>
    <w:p w14:paraId="78AC784D" w14:textId="05ED3D17" w:rsidR="00944281" w:rsidRDefault="00944281" w:rsidP="00E23210">
      <w:pPr>
        <w:jc w:val="both"/>
        <w:rPr>
          <w:color w:val="000000"/>
        </w:rPr>
      </w:pPr>
      <w:r>
        <w:rPr>
          <w:color w:val="000000"/>
          <w:lang w:val="en-GB"/>
        </w:rPr>
        <w:t xml:space="preserve">In </w:t>
      </w:r>
      <w:r w:rsidR="00F736DD">
        <w:rPr>
          <w:color w:val="000000"/>
          <w:lang w:val="en-GB"/>
        </w:rPr>
        <w:t xml:space="preserve">previous </w:t>
      </w:r>
      <w:r>
        <w:rPr>
          <w:color w:val="000000"/>
          <w:lang w:val="en-GB"/>
        </w:rPr>
        <w:t>RAN1-11</w:t>
      </w:r>
      <w:r w:rsidR="00F736DD">
        <w:rPr>
          <w:color w:val="000000"/>
          <w:lang w:val="en-GB"/>
        </w:rPr>
        <w:t>2 meeting</w:t>
      </w:r>
      <w:r>
        <w:rPr>
          <w:color w:val="000000"/>
          <w:lang w:val="en-GB"/>
        </w:rPr>
        <w:t>,</w:t>
      </w:r>
      <w:r w:rsidR="00007144">
        <w:rPr>
          <w:color w:val="000000"/>
          <w:lang w:val="en-GB"/>
        </w:rPr>
        <w:t xml:space="preserve"> </w:t>
      </w:r>
      <w:r w:rsidR="00F736DD">
        <w:rPr>
          <w:color w:val="000000"/>
          <w:lang w:val="en-GB"/>
        </w:rPr>
        <w:t xml:space="preserve">DCI size alignment was discussed but no agreement was </w:t>
      </w:r>
      <w:r w:rsidR="00352C33">
        <w:rPr>
          <w:color w:val="000000"/>
          <w:lang w:val="en-GB"/>
        </w:rPr>
        <w:t>reached</w:t>
      </w:r>
      <w:r w:rsidR="00F736DD">
        <w:rPr>
          <w:color w:val="000000"/>
          <w:lang w:val="en-GB"/>
        </w:rPr>
        <w:t xml:space="preserve">. </w:t>
      </w:r>
      <w:r w:rsidR="00F736DD">
        <w:rPr>
          <w:color w:val="000000"/>
        </w:rPr>
        <w:t xml:space="preserve">The latest FL proposal from RAN1-112 </w:t>
      </w:r>
      <w:r w:rsidR="00C97D74">
        <w:rPr>
          <w:color w:val="000000"/>
        </w:rPr>
        <w:t xml:space="preserve">[2] </w:t>
      </w:r>
      <w:r w:rsidR="00F736DD">
        <w:rPr>
          <w:color w:val="000000"/>
        </w:rPr>
        <w:t xml:space="preserve">is as follows: </w:t>
      </w:r>
    </w:p>
    <w:tbl>
      <w:tblPr>
        <w:tblStyle w:val="TableGrid"/>
        <w:tblW w:w="0" w:type="auto"/>
        <w:tblLook w:val="04A0" w:firstRow="1" w:lastRow="0" w:firstColumn="1" w:lastColumn="0" w:noHBand="0" w:noVBand="1"/>
      </w:tblPr>
      <w:tblGrid>
        <w:gridCol w:w="9631"/>
      </w:tblGrid>
      <w:tr w:rsidR="002D6116" w14:paraId="462D3922" w14:textId="77777777" w:rsidTr="002D6116">
        <w:tc>
          <w:tcPr>
            <w:tcW w:w="9631" w:type="dxa"/>
          </w:tcPr>
          <w:p w14:paraId="54D557CF" w14:textId="77777777" w:rsidR="002D6116" w:rsidRDefault="002D6116" w:rsidP="002D6116">
            <w:pPr>
              <w:spacing w:after="0"/>
              <w:jc w:val="both"/>
              <w:rPr>
                <w:lang w:val="en-GB"/>
              </w:rPr>
            </w:pPr>
            <w:r>
              <w:rPr>
                <w:b/>
                <w:bCs/>
                <w:highlight w:val="magenta"/>
                <w:lang w:val="en-GB"/>
              </w:rPr>
              <w:t>FL proposal 2-4r2</w:t>
            </w:r>
            <w:r>
              <w:rPr>
                <w:lang w:val="en-GB"/>
              </w:rPr>
              <w:t xml:space="preserve">: </w:t>
            </w:r>
          </w:p>
          <w:p w14:paraId="17968BF3" w14:textId="77777777" w:rsidR="002D6116" w:rsidRDefault="002D6116" w:rsidP="002D6116">
            <w:pPr>
              <w:spacing w:after="0"/>
              <w:jc w:val="both"/>
              <w:rPr>
                <w:lang w:val="en-GB"/>
              </w:rPr>
            </w:pPr>
            <w:r>
              <w:rPr>
                <w:lang w:val="en-GB"/>
              </w:rPr>
              <w:t>RAN1 to select one of the following Options for DCI size alignment when DWS indication is configured in DCI format 0_1 or 0_2:</w:t>
            </w:r>
          </w:p>
          <w:p w14:paraId="0583A466" w14:textId="77777777" w:rsidR="002D6116" w:rsidRDefault="002D6116" w:rsidP="002D6116">
            <w:pPr>
              <w:spacing w:after="0"/>
              <w:jc w:val="both"/>
              <w:rPr>
                <w:lang w:val="en-GB"/>
              </w:rPr>
            </w:pPr>
          </w:p>
          <w:p w14:paraId="26469C99" w14:textId="77777777" w:rsidR="002D6116" w:rsidRDefault="002D6116" w:rsidP="002D6116">
            <w:pPr>
              <w:spacing w:after="0"/>
              <w:rPr>
                <w:u w:val="single"/>
              </w:rPr>
            </w:pPr>
            <w:r>
              <w:rPr>
                <w:u w:val="single"/>
              </w:rPr>
              <w:t>Option 1: Per-format alignment</w:t>
            </w:r>
          </w:p>
          <w:p w14:paraId="7DF24E41" w14:textId="77777777" w:rsidR="002D6116" w:rsidRDefault="002D6116" w:rsidP="002D6116">
            <w:pPr>
              <w:pStyle w:val="ListParagraph"/>
              <w:numPr>
                <w:ilvl w:val="0"/>
                <w:numId w:val="45"/>
              </w:numPr>
              <w:spacing w:after="100" w:afterAutospacing="1"/>
              <w:rPr>
                <w:lang w:eastAsia="ja-JP"/>
              </w:rPr>
            </w:pPr>
            <w:r>
              <w:t xml:space="preserve">Step 1: Determine field sizes of DCI addressed to C-RNTI based on the waveform indicated by DWS field. </w:t>
            </w:r>
          </w:p>
          <w:p w14:paraId="53B1080D" w14:textId="77777777" w:rsidR="002D6116" w:rsidRDefault="002D6116" w:rsidP="002D6116">
            <w:pPr>
              <w:pStyle w:val="ListParagraph"/>
              <w:numPr>
                <w:ilvl w:val="0"/>
                <w:numId w:val="45"/>
              </w:numPr>
              <w:spacing w:before="100" w:beforeAutospacing="1" w:after="100" w:afterAutospacing="1"/>
            </w:pPr>
            <w:r>
              <w:t>Step 2: If DCI is addressed to CS-RNTI, align field sizes to that of DCI addressed to C-RNTI based on the waveform indicated by DWS field using the existing C-RNTI/CS-RNTI alignment clause.</w:t>
            </w:r>
          </w:p>
          <w:p w14:paraId="498EBF0D" w14:textId="77777777" w:rsidR="002D6116" w:rsidRDefault="002D6116" w:rsidP="002D6116">
            <w:pPr>
              <w:pStyle w:val="ListParagraph"/>
              <w:numPr>
                <w:ilvl w:val="0"/>
                <w:numId w:val="45"/>
              </w:numPr>
              <w:spacing w:before="100" w:beforeAutospacing="1" w:after="100" w:afterAutospacing="1"/>
            </w:pPr>
            <w:r>
              <w:t>Select between:</w:t>
            </w:r>
          </w:p>
          <w:p w14:paraId="044437E2" w14:textId="77777777" w:rsidR="002D6116" w:rsidRDefault="002D6116" w:rsidP="002D6116">
            <w:pPr>
              <w:pStyle w:val="ListParagraph"/>
              <w:numPr>
                <w:ilvl w:val="1"/>
                <w:numId w:val="45"/>
              </w:numPr>
              <w:spacing w:before="100" w:beforeAutospacing="1" w:after="100" w:afterAutospacing="1"/>
            </w:pPr>
            <w:r>
              <w:t>Alt. A:</w:t>
            </w:r>
          </w:p>
          <w:p w14:paraId="48208AA1" w14:textId="77777777" w:rsidR="002D6116" w:rsidRDefault="002D6116" w:rsidP="002D6116">
            <w:pPr>
              <w:pStyle w:val="ListParagraph"/>
              <w:numPr>
                <w:ilvl w:val="2"/>
                <w:numId w:val="45"/>
              </w:numPr>
              <w:spacing w:before="100" w:beforeAutospacing="1" w:after="100" w:afterAutospacing="1"/>
            </w:pPr>
            <w:r>
              <w:t>By specification, at least one field preceding NDI has size that depends on waveform (e.g. FDRA).</w:t>
            </w:r>
          </w:p>
          <w:p w14:paraId="23731ECD" w14:textId="77777777" w:rsidR="002D6116" w:rsidRDefault="002D6116" w:rsidP="002D6116">
            <w:pPr>
              <w:pStyle w:val="ListParagraph"/>
              <w:numPr>
                <w:ilvl w:val="2"/>
                <w:numId w:val="45"/>
              </w:numPr>
              <w:spacing w:before="100" w:beforeAutospacing="1" w:after="100" w:afterAutospacing="1"/>
            </w:pPr>
            <w:r>
              <w:t>Note: This implies DWS field must be decoded before finding position of NDI field.</w:t>
            </w:r>
          </w:p>
          <w:p w14:paraId="12716FEC" w14:textId="77777777" w:rsidR="002D6116" w:rsidRDefault="002D6116" w:rsidP="002D6116">
            <w:pPr>
              <w:pStyle w:val="ListParagraph"/>
              <w:numPr>
                <w:ilvl w:val="2"/>
                <w:numId w:val="45"/>
              </w:numPr>
              <w:spacing w:before="100" w:beforeAutospacing="1" w:after="100" w:afterAutospacing="1"/>
            </w:pPr>
            <w:r>
              <w:t>Note: This implies DWS field must be positioned before the first field that depends on waveform.</w:t>
            </w:r>
          </w:p>
          <w:p w14:paraId="24DF7539" w14:textId="77777777" w:rsidR="002D6116" w:rsidRDefault="002D6116" w:rsidP="002D6116">
            <w:pPr>
              <w:pStyle w:val="ListParagraph"/>
              <w:numPr>
                <w:ilvl w:val="2"/>
                <w:numId w:val="45"/>
              </w:numPr>
              <w:spacing w:before="100" w:beforeAutospacing="1" w:after="100" w:afterAutospacing="1"/>
            </w:pPr>
            <w:r>
              <w:t xml:space="preserve">Impact on procedure for PDCCH validation of CG type 2: if DWS field value does not match waveform RRC-configured in </w:t>
            </w:r>
            <w:r>
              <w:rPr>
                <w:i/>
                <w:iCs/>
              </w:rPr>
              <w:t>ConfiguredGrantConfig</w:t>
            </w:r>
            <w:r>
              <w:t xml:space="preserve"> for the CG, and NDI=0, it is an error case.</w:t>
            </w:r>
          </w:p>
          <w:p w14:paraId="2BA0BFEF" w14:textId="77777777" w:rsidR="002D6116" w:rsidRDefault="002D6116" w:rsidP="002D6116">
            <w:pPr>
              <w:pStyle w:val="ListParagraph"/>
              <w:numPr>
                <w:ilvl w:val="1"/>
                <w:numId w:val="45"/>
              </w:numPr>
              <w:spacing w:before="100" w:beforeAutospacing="1" w:after="100" w:afterAutospacing="1"/>
            </w:pPr>
            <w:r>
              <w:t xml:space="preserve">Alt. B: </w:t>
            </w:r>
          </w:p>
          <w:p w14:paraId="50EFFE74" w14:textId="77777777" w:rsidR="002D6116" w:rsidRDefault="002D6116" w:rsidP="002D6116">
            <w:pPr>
              <w:pStyle w:val="ListParagraph"/>
              <w:numPr>
                <w:ilvl w:val="2"/>
                <w:numId w:val="45"/>
              </w:numPr>
              <w:spacing w:before="100" w:beforeAutospacing="1" w:after="100" w:afterAutospacing="1"/>
            </w:pPr>
            <w:r>
              <w:t>By specification, no field preceding NDI has size that depends on waveform.</w:t>
            </w:r>
          </w:p>
          <w:p w14:paraId="22017EAF" w14:textId="77777777" w:rsidR="002D6116" w:rsidRDefault="002D6116" w:rsidP="002D6116">
            <w:pPr>
              <w:pStyle w:val="ListParagraph"/>
              <w:numPr>
                <w:ilvl w:val="3"/>
                <w:numId w:val="45"/>
              </w:numPr>
              <w:spacing w:before="100" w:beforeAutospacing="1" w:after="100" w:afterAutospacing="1"/>
            </w:pPr>
            <w:r>
              <w:t>Note: It seems that it is currently the case for DCI format 0_1/0_2 in R17 (may need further checking)</w:t>
            </w:r>
          </w:p>
          <w:p w14:paraId="2E65D18C" w14:textId="77777777" w:rsidR="002D6116" w:rsidRDefault="002D6116" w:rsidP="002D6116">
            <w:pPr>
              <w:pStyle w:val="ListParagraph"/>
              <w:numPr>
                <w:ilvl w:val="2"/>
                <w:numId w:val="45"/>
              </w:numPr>
              <w:spacing w:before="100" w:beforeAutospacing="1" w:after="100" w:afterAutospacing="1"/>
            </w:pPr>
            <w:r>
              <w:t>Note: This means DWS field does not need to be decoded before finding position of NDI field.</w:t>
            </w:r>
          </w:p>
          <w:p w14:paraId="1324B6C3" w14:textId="77777777" w:rsidR="002D6116" w:rsidRDefault="002D6116" w:rsidP="002D6116">
            <w:pPr>
              <w:pStyle w:val="ListParagraph"/>
              <w:numPr>
                <w:ilvl w:val="2"/>
                <w:numId w:val="45"/>
              </w:numPr>
              <w:spacing w:before="100" w:beforeAutospacing="1" w:after="100" w:afterAutospacing="1"/>
            </w:pPr>
            <w:r>
              <w:t>Note: This means DWS field can be positioned after NDI, but before the first field that depends on waveform.</w:t>
            </w:r>
          </w:p>
          <w:p w14:paraId="02841496" w14:textId="77777777" w:rsidR="002D6116" w:rsidRDefault="002D6116" w:rsidP="002D6116">
            <w:pPr>
              <w:pStyle w:val="ListParagraph"/>
              <w:numPr>
                <w:ilvl w:val="2"/>
                <w:numId w:val="45"/>
              </w:numPr>
              <w:spacing w:before="100" w:beforeAutospacing="1" w:after="100" w:afterAutospacing="1"/>
            </w:pPr>
            <w:r>
              <w:t>No impact on procedure for PDCCH validation of CG type 2. UE can ignore value of DWS field in the validation.</w:t>
            </w:r>
          </w:p>
          <w:p w14:paraId="20166562" w14:textId="77777777" w:rsidR="002D6116" w:rsidRDefault="002D6116" w:rsidP="002D6116">
            <w:pPr>
              <w:pStyle w:val="ListParagraph"/>
              <w:numPr>
                <w:ilvl w:val="0"/>
                <w:numId w:val="45"/>
              </w:numPr>
              <w:spacing w:after="100" w:afterAutospacing="1"/>
            </w:pPr>
            <w:r>
              <w:t>Step 3: Apply padding at the end of the DCI, if necessary, to match the size of the largest DCI size between (DWS=CP-OFDM) and (DWS=DFT-S-OFDM).</w:t>
            </w:r>
          </w:p>
          <w:p w14:paraId="163C1E7F" w14:textId="77777777" w:rsidR="002D6116" w:rsidRDefault="002D6116" w:rsidP="002D6116">
            <w:pPr>
              <w:spacing w:after="0"/>
              <w:rPr>
                <w:u w:val="single"/>
              </w:rPr>
            </w:pPr>
            <w:r>
              <w:rPr>
                <w:u w:val="single"/>
              </w:rPr>
              <w:t>Option 2: Per-field alignment</w:t>
            </w:r>
          </w:p>
          <w:p w14:paraId="1B6AB9F7" w14:textId="77777777" w:rsidR="002D6116" w:rsidRDefault="002D6116" w:rsidP="002D6116">
            <w:pPr>
              <w:pStyle w:val="ListParagraph"/>
              <w:numPr>
                <w:ilvl w:val="0"/>
                <w:numId w:val="45"/>
              </w:numPr>
              <w:spacing w:after="100" w:afterAutospacing="1"/>
            </w:pPr>
            <w:r>
              <w:t>Step 1: For C-RNTI, apply padding to each field, if necessary, to match the size of the largest field size between (DWS=CP-OFDM) and (DWS=DFT-S-OFDM).</w:t>
            </w:r>
          </w:p>
          <w:p w14:paraId="686D0BAD" w14:textId="77777777" w:rsidR="002D6116" w:rsidRDefault="002D6116" w:rsidP="002D6116">
            <w:pPr>
              <w:pStyle w:val="ListParagraph"/>
              <w:numPr>
                <w:ilvl w:val="0"/>
                <w:numId w:val="45"/>
              </w:numPr>
              <w:spacing w:before="100" w:beforeAutospacing="1" w:after="100" w:afterAutospacing="1"/>
            </w:pPr>
            <w:r>
              <w:t>Step 2: If DCI is addressed to CS-RNTI, align field sizes to those of C-RNTI according to existing alignment clause between CS-RNTI and C-RNTI.</w:t>
            </w:r>
          </w:p>
          <w:p w14:paraId="3A65C89C" w14:textId="77777777" w:rsidR="002D6116" w:rsidRDefault="002D6116" w:rsidP="002D6116">
            <w:pPr>
              <w:pStyle w:val="ListParagraph"/>
              <w:numPr>
                <w:ilvl w:val="0"/>
                <w:numId w:val="45"/>
              </w:numPr>
              <w:spacing w:before="100" w:beforeAutospacing="1" w:after="100" w:afterAutospacing="1"/>
            </w:pPr>
            <w:r>
              <w:t>Note: DWS field does not need to be decoded before finding position of NDI field or any other field.</w:t>
            </w:r>
          </w:p>
          <w:p w14:paraId="6DCDDD90" w14:textId="77777777" w:rsidR="002D6116" w:rsidRDefault="002D6116" w:rsidP="002D6116">
            <w:pPr>
              <w:pStyle w:val="ListParagraph"/>
              <w:numPr>
                <w:ilvl w:val="0"/>
                <w:numId w:val="45"/>
              </w:numPr>
              <w:spacing w:before="100" w:beforeAutospacing="1" w:after="100" w:afterAutospacing="1"/>
            </w:pPr>
            <w:r>
              <w:t>Note: No constraint on position of DWS field in DCI (but positioning before any field that has waveform-dependent interpretation may help implementation).</w:t>
            </w:r>
          </w:p>
          <w:p w14:paraId="0DB9D5CD" w14:textId="77777777" w:rsidR="002D6116" w:rsidRDefault="002D6116" w:rsidP="002D6116">
            <w:pPr>
              <w:spacing w:after="0"/>
              <w:rPr>
                <w:u w:val="single"/>
              </w:rPr>
            </w:pPr>
            <w:r>
              <w:rPr>
                <w:u w:val="single"/>
              </w:rPr>
              <w:t>Option 3: Per-field alignment only for fields preceding NDI field</w:t>
            </w:r>
          </w:p>
          <w:p w14:paraId="2D4BCFF2" w14:textId="77777777" w:rsidR="002D6116" w:rsidRDefault="002D6116" w:rsidP="002D6116">
            <w:pPr>
              <w:pStyle w:val="ListParagraph"/>
              <w:numPr>
                <w:ilvl w:val="0"/>
                <w:numId w:val="45"/>
              </w:numPr>
              <w:spacing w:after="100" w:afterAutospacing="1"/>
            </w:pPr>
            <w:r>
              <w:t>Step 1: For fields preceding NDI, apply per-field alignment as per Steps 1 and 2 of Option 2.</w:t>
            </w:r>
          </w:p>
          <w:p w14:paraId="507552C7" w14:textId="77777777" w:rsidR="002D6116" w:rsidRDefault="002D6116" w:rsidP="002D6116">
            <w:pPr>
              <w:pStyle w:val="ListParagraph"/>
              <w:numPr>
                <w:ilvl w:val="1"/>
                <w:numId w:val="45"/>
              </w:numPr>
              <w:spacing w:before="100" w:beforeAutospacing="1" w:after="100" w:afterAutospacing="1"/>
            </w:pPr>
            <w:r>
              <w:t>Note: This means DWS field does not need to be decoded before finding position of NDI field.</w:t>
            </w:r>
          </w:p>
          <w:p w14:paraId="3FF56A4B" w14:textId="77777777" w:rsidR="002D6116" w:rsidRDefault="002D6116" w:rsidP="002D6116">
            <w:pPr>
              <w:pStyle w:val="ListParagraph"/>
              <w:numPr>
                <w:ilvl w:val="0"/>
                <w:numId w:val="45"/>
              </w:numPr>
              <w:spacing w:before="100" w:beforeAutospacing="1" w:after="100" w:afterAutospacing="1"/>
            </w:pPr>
            <w:r>
              <w:t>Step 2: For fields following NDI, determine field sizes based on DWS as per Steps 1 and 2 of Option 1.</w:t>
            </w:r>
          </w:p>
          <w:p w14:paraId="44FB9C75" w14:textId="77777777" w:rsidR="002D6116" w:rsidRDefault="002D6116" w:rsidP="002D6116">
            <w:pPr>
              <w:pStyle w:val="ListParagraph"/>
              <w:numPr>
                <w:ilvl w:val="0"/>
                <w:numId w:val="45"/>
              </w:numPr>
              <w:spacing w:before="100" w:beforeAutospacing="1" w:after="100" w:afterAutospacing="1"/>
            </w:pPr>
            <w:r>
              <w:t>Step 3: Apply padding at the end of the DCI, if necessary, to match the size of the largest DCI size between (DWS=CP-OFDM) and (DWS=DFT-S-OFDM).</w:t>
            </w:r>
          </w:p>
          <w:p w14:paraId="03AE0CD9" w14:textId="77777777" w:rsidR="002D6116" w:rsidRDefault="002D6116" w:rsidP="002D6116">
            <w:pPr>
              <w:pStyle w:val="ListParagraph"/>
              <w:numPr>
                <w:ilvl w:val="0"/>
                <w:numId w:val="45"/>
              </w:numPr>
              <w:spacing w:before="100" w:beforeAutospacing="1" w:after="100" w:afterAutospacing="1"/>
            </w:pPr>
            <w:r>
              <w:t>Note: Option 3 has same features as Option1/Alt-B with respect to impact on PDCCH validation and positioning of DWS field. In case all fields preceding NDI are guaranteed to have size independent of waveform by specification, Option 3 may not be relevant.</w:t>
            </w:r>
          </w:p>
          <w:p w14:paraId="472F9A3A" w14:textId="77777777" w:rsidR="002D6116" w:rsidRDefault="002D6116" w:rsidP="002D6116">
            <w:pPr>
              <w:spacing w:after="0"/>
              <w:rPr>
                <w:u w:val="single"/>
              </w:rPr>
            </w:pPr>
            <w:r>
              <w:rPr>
                <w:u w:val="single"/>
              </w:rPr>
              <w:t>Option 4: Per-field alignment only for DCI addressed to CS-RNTI</w:t>
            </w:r>
          </w:p>
          <w:p w14:paraId="083C8228" w14:textId="77777777" w:rsidR="002D6116" w:rsidRDefault="002D6116" w:rsidP="002D6116">
            <w:pPr>
              <w:pStyle w:val="ListParagraph"/>
              <w:numPr>
                <w:ilvl w:val="0"/>
                <w:numId w:val="45"/>
              </w:numPr>
              <w:spacing w:after="100" w:afterAutospacing="1"/>
            </w:pPr>
            <w:r>
              <w:lastRenderedPageBreak/>
              <w:t>For DCI addressed to C-RNTI:</w:t>
            </w:r>
          </w:p>
          <w:p w14:paraId="1459FF44" w14:textId="77777777" w:rsidR="002D6116" w:rsidRDefault="002D6116" w:rsidP="002D6116">
            <w:pPr>
              <w:pStyle w:val="ListParagraph"/>
              <w:numPr>
                <w:ilvl w:val="1"/>
                <w:numId w:val="45"/>
              </w:numPr>
              <w:spacing w:after="100" w:afterAutospacing="1"/>
            </w:pPr>
            <w:r>
              <w:t>Step 1: Determine size of fields based on DWS indication.</w:t>
            </w:r>
          </w:p>
          <w:p w14:paraId="5BA29929" w14:textId="77777777" w:rsidR="002D6116" w:rsidRDefault="002D6116" w:rsidP="002D6116">
            <w:pPr>
              <w:pStyle w:val="ListParagraph"/>
              <w:numPr>
                <w:ilvl w:val="2"/>
                <w:numId w:val="45"/>
              </w:numPr>
              <w:spacing w:before="100" w:beforeAutospacing="1" w:after="100" w:afterAutospacing="1"/>
            </w:pPr>
            <w:r>
              <w:t>Note: This implies DWS field must be positioned before the first field that depends on waveform.</w:t>
            </w:r>
          </w:p>
          <w:p w14:paraId="07DAA259" w14:textId="77777777" w:rsidR="002D6116" w:rsidRDefault="002D6116" w:rsidP="002D6116">
            <w:pPr>
              <w:pStyle w:val="ListParagraph"/>
              <w:numPr>
                <w:ilvl w:val="1"/>
                <w:numId w:val="45"/>
              </w:numPr>
              <w:spacing w:after="100" w:afterAutospacing="1"/>
            </w:pPr>
            <w:r>
              <w:t>Step 2: Apply padding at the end of the DCI, if necessary, to match the size of the largest DCI size between (DWS=CP-OFDM) and (DWS=DFT-S-OFDM).</w:t>
            </w:r>
          </w:p>
          <w:p w14:paraId="6992EBBF" w14:textId="77777777" w:rsidR="002D6116" w:rsidRDefault="002D6116" w:rsidP="002D6116">
            <w:pPr>
              <w:pStyle w:val="ListParagraph"/>
              <w:numPr>
                <w:ilvl w:val="0"/>
                <w:numId w:val="45"/>
              </w:numPr>
              <w:spacing w:after="100" w:afterAutospacing="1"/>
            </w:pPr>
            <w:r>
              <w:t>For DCI addressed to CS-RNTI:</w:t>
            </w:r>
          </w:p>
          <w:p w14:paraId="446B002A" w14:textId="77777777" w:rsidR="002D6116" w:rsidRDefault="002D6116" w:rsidP="002D6116">
            <w:pPr>
              <w:pStyle w:val="ListParagraph"/>
              <w:numPr>
                <w:ilvl w:val="1"/>
                <w:numId w:val="45"/>
              </w:numPr>
              <w:spacing w:after="100" w:afterAutospacing="1"/>
            </w:pPr>
            <w:r>
              <w:t>Apply padding to each field, if necessary, to match the size of the corresponding field for the DCI addressed to C-RNTI and (DWS=CP-OFDM).</w:t>
            </w:r>
          </w:p>
          <w:p w14:paraId="57F215CF" w14:textId="77777777" w:rsidR="002D6116" w:rsidRDefault="002D6116" w:rsidP="002D6116">
            <w:pPr>
              <w:pStyle w:val="ListParagraph"/>
              <w:numPr>
                <w:ilvl w:val="2"/>
                <w:numId w:val="45"/>
              </w:numPr>
              <w:spacing w:before="100" w:beforeAutospacing="1" w:after="100" w:afterAutospacing="1"/>
            </w:pPr>
            <w:r>
              <w:t>Note: This means DWS field does not need to be decoded before finding position of NDI field in the case of CS-RNTI.</w:t>
            </w:r>
          </w:p>
          <w:p w14:paraId="555F5ADA" w14:textId="7D3B9C22" w:rsidR="002D6116" w:rsidRDefault="002D6116" w:rsidP="002D6116">
            <w:pPr>
              <w:jc w:val="both"/>
              <w:rPr>
                <w:color w:val="000000"/>
              </w:rPr>
            </w:pPr>
            <w:r>
              <w:t>Note: Field introduced in future specs needs to have size for CP-OFDM at least equal to size for DFT-S-OFDM, or otherwise cannot be used for CS-RNTI and NDI=1.</w:t>
            </w:r>
          </w:p>
        </w:tc>
      </w:tr>
    </w:tbl>
    <w:p w14:paraId="3B412BBB" w14:textId="77777777" w:rsidR="00F736DD" w:rsidRDefault="00F736DD" w:rsidP="00E23210">
      <w:pPr>
        <w:jc w:val="both"/>
        <w:rPr>
          <w:color w:val="000000"/>
        </w:rPr>
      </w:pPr>
    </w:p>
    <w:p w14:paraId="6F4A17D9" w14:textId="6AB1B2F3" w:rsidR="00552BB4" w:rsidRDefault="001E0ACB" w:rsidP="00E23210">
      <w:pPr>
        <w:jc w:val="both"/>
        <w:rPr>
          <w:color w:val="000000"/>
        </w:rPr>
      </w:pPr>
      <w:r>
        <w:rPr>
          <w:color w:val="000000"/>
        </w:rPr>
        <w:t xml:space="preserve">In our view, the most important aspect in the discussion is to agree on a method that will provide DCI size alignment without any ambiguity at UE side for any of the DCI fields. Next, minimizing the specification impact can be a preferred approach. The current specifications follow per-format alignment (by zero padding) for DCI alignment with C-RNTI (e.g., between UL scheduling DCI and DL scheduling DCI). Similar per-format approach can be considered for aligning DCI size between CP-OFDM and DFT-S-OFDM. </w:t>
      </w:r>
    </w:p>
    <w:p w14:paraId="5EA30A79" w14:textId="6E0AFAB3" w:rsidR="005B6701" w:rsidRDefault="001E0ACB" w:rsidP="001E0ACB">
      <w:pPr>
        <w:jc w:val="both"/>
        <w:rPr>
          <w:color w:val="000000"/>
        </w:rPr>
      </w:pPr>
      <w:r>
        <w:rPr>
          <w:color w:val="000000"/>
        </w:rPr>
        <w:t xml:space="preserve">The current specification also defines per-field alignment for DCI with CS-RNTI. This is to ensure that the NDI field is located by the UE correctly. If we follow similar approach, Option-1 or Option-4 seem to require smaller specification impact. </w:t>
      </w:r>
    </w:p>
    <w:p w14:paraId="65B730F8" w14:textId="1E350661" w:rsidR="005B6701" w:rsidRDefault="005B6701" w:rsidP="005B6701">
      <w:pPr>
        <w:jc w:val="both"/>
        <w:rPr>
          <w:color w:val="000000"/>
        </w:rPr>
      </w:pPr>
      <w:r>
        <w:rPr>
          <w:color w:val="000000"/>
        </w:rPr>
        <w:t>We propose the following:</w:t>
      </w:r>
    </w:p>
    <w:p w14:paraId="7E10DFB3" w14:textId="37E76251" w:rsidR="005B6701" w:rsidRDefault="005B6701" w:rsidP="005B6701">
      <w:pPr>
        <w:jc w:val="both"/>
        <w:rPr>
          <w:b/>
          <w:lang w:eastAsia="zh-TW"/>
        </w:rPr>
      </w:pPr>
      <w:r>
        <w:rPr>
          <w:b/>
          <w:lang w:eastAsia="zh-TW"/>
        </w:rPr>
        <w:t xml:space="preserve">Proposal </w:t>
      </w:r>
      <w:r w:rsidR="001E0ACB">
        <w:rPr>
          <w:b/>
          <w:lang w:eastAsia="zh-TW"/>
        </w:rPr>
        <w:t>2</w:t>
      </w:r>
      <w:r w:rsidRPr="001F274F">
        <w:rPr>
          <w:b/>
          <w:lang w:eastAsia="zh-TW"/>
        </w:rPr>
        <w:t>:</w:t>
      </w:r>
      <w:r w:rsidR="001E0ACB">
        <w:rPr>
          <w:b/>
          <w:lang w:eastAsia="zh-TW"/>
        </w:rPr>
        <w:t xml:space="preserve"> Per-format alignment is preferred between two DCI with C-RNTI</w:t>
      </w:r>
      <w:r>
        <w:rPr>
          <w:b/>
          <w:lang w:eastAsia="zh-TW"/>
        </w:rPr>
        <w:t xml:space="preserve">. </w:t>
      </w:r>
    </w:p>
    <w:p w14:paraId="010EAC83" w14:textId="13A1BF83" w:rsidR="001E0ACB" w:rsidRDefault="001E0ACB" w:rsidP="005B6701">
      <w:pPr>
        <w:jc w:val="both"/>
        <w:rPr>
          <w:b/>
          <w:bCs/>
          <w:color w:val="000000"/>
        </w:rPr>
      </w:pPr>
      <w:r>
        <w:rPr>
          <w:b/>
          <w:lang w:eastAsia="zh-TW"/>
        </w:rPr>
        <w:t>Proposal 3</w:t>
      </w:r>
      <w:r w:rsidRPr="001F274F">
        <w:rPr>
          <w:b/>
          <w:lang w:eastAsia="zh-TW"/>
        </w:rPr>
        <w:t>:</w:t>
      </w:r>
      <w:r>
        <w:rPr>
          <w:b/>
          <w:lang w:eastAsia="zh-TW"/>
        </w:rPr>
        <w:t xml:space="preserve"> Per-field alignment is preferred between DCI with C-RNTI and DCI with CS-RNTI.</w:t>
      </w:r>
    </w:p>
    <w:p w14:paraId="33312BE9" w14:textId="77777777" w:rsidR="00E23210" w:rsidRDefault="00E23210" w:rsidP="00413CF4">
      <w:pPr>
        <w:spacing w:after="0"/>
        <w:jc w:val="both"/>
        <w:rPr>
          <w:color w:val="000000"/>
        </w:rPr>
      </w:pPr>
    </w:p>
    <w:p w14:paraId="37D18BDE" w14:textId="55D882BA" w:rsidR="00915234" w:rsidRDefault="00E75FD3" w:rsidP="00915234">
      <w:pPr>
        <w:pStyle w:val="Heading2"/>
      </w:pPr>
      <w:r>
        <w:t xml:space="preserve">PHR enhancements to support dynamic waveform switching </w:t>
      </w:r>
    </w:p>
    <w:p w14:paraId="65F3CC4D" w14:textId="67E67F5E" w:rsidR="000C29E9" w:rsidRDefault="00C43AB6" w:rsidP="0097081F">
      <w:pPr>
        <w:rPr>
          <w:color w:val="000000"/>
        </w:rPr>
      </w:pPr>
      <w:r>
        <w:rPr>
          <w:color w:val="000000"/>
        </w:rPr>
        <w:t>During the discussions in last RAN1-112 meeting, the following proposal was discussed for PHR enhancements to support dynamic waveform switching:</w:t>
      </w:r>
    </w:p>
    <w:tbl>
      <w:tblPr>
        <w:tblStyle w:val="TableGrid"/>
        <w:tblW w:w="0" w:type="auto"/>
        <w:tblLook w:val="04A0" w:firstRow="1" w:lastRow="0" w:firstColumn="1" w:lastColumn="0" w:noHBand="0" w:noVBand="1"/>
      </w:tblPr>
      <w:tblGrid>
        <w:gridCol w:w="9631"/>
      </w:tblGrid>
      <w:tr w:rsidR="003B5405" w14:paraId="6D828043" w14:textId="77777777" w:rsidTr="003B5405">
        <w:tc>
          <w:tcPr>
            <w:tcW w:w="9631" w:type="dxa"/>
          </w:tcPr>
          <w:p w14:paraId="7EA665A8" w14:textId="77777777" w:rsidR="003B5405" w:rsidRDefault="003B5405" w:rsidP="003B5405">
            <w:pPr>
              <w:spacing w:after="0"/>
              <w:jc w:val="both"/>
              <w:rPr>
                <w:lang w:val="en-GB"/>
              </w:rPr>
            </w:pPr>
            <w:r>
              <w:rPr>
                <w:b/>
                <w:bCs/>
                <w:highlight w:val="magenta"/>
                <w:lang w:val="en-GB"/>
              </w:rPr>
              <w:t>FL proposal 3-1</w:t>
            </w:r>
            <w:r>
              <w:rPr>
                <w:lang w:val="en-GB"/>
              </w:rPr>
              <w:t>: Support reporting of power headroom information applicable to a reference PUSCH using a target waveform different from waveform of actual PUSCH:</w:t>
            </w:r>
          </w:p>
          <w:p w14:paraId="5096E607" w14:textId="77777777" w:rsidR="003B5405" w:rsidRDefault="003B5405" w:rsidP="003B5405">
            <w:pPr>
              <w:pStyle w:val="ListParagraph"/>
              <w:numPr>
                <w:ilvl w:val="0"/>
                <w:numId w:val="46"/>
              </w:numPr>
              <w:spacing w:after="0"/>
              <w:ind w:left="720" w:hanging="360"/>
              <w:jc w:val="both"/>
              <w:rPr>
                <w:rFonts w:eastAsia="Batang"/>
                <w:color w:val="000000"/>
                <w:lang w:val="en-GB"/>
              </w:rPr>
            </w:pPr>
            <w:r>
              <w:rPr>
                <w:rFonts w:eastAsia="Batang"/>
                <w:color w:val="000000"/>
                <w:lang w:val="en-GB"/>
              </w:rPr>
              <w:t>Support at least the case where reference PUSCH has same RB allocation and modulation order as actual PUSCH (FFS: RB allocation not compatible with target waveform)</w:t>
            </w:r>
          </w:p>
          <w:p w14:paraId="48036818" w14:textId="77777777" w:rsidR="003B5405" w:rsidRDefault="003B5405" w:rsidP="003B5405">
            <w:pPr>
              <w:pStyle w:val="ListParagraph"/>
              <w:numPr>
                <w:ilvl w:val="0"/>
                <w:numId w:val="46"/>
              </w:numPr>
              <w:spacing w:after="0"/>
              <w:ind w:left="720" w:hanging="360"/>
              <w:jc w:val="both"/>
              <w:rPr>
                <w:rFonts w:eastAsia="Batang"/>
                <w:color w:val="000000"/>
                <w:lang w:val="en-GB"/>
              </w:rPr>
            </w:pPr>
            <w:r>
              <w:rPr>
                <w:rFonts w:eastAsia="Batang"/>
                <w:color w:val="000000"/>
                <w:lang w:val="en-GB"/>
              </w:rPr>
              <w:t>FFS: Type of power headroom information (power headroom and/or Pcmax,c)</w:t>
            </w:r>
          </w:p>
          <w:p w14:paraId="6A2E0F78" w14:textId="77777777" w:rsidR="003B5405" w:rsidRDefault="003B5405" w:rsidP="003B5405">
            <w:pPr>
              <w:pStyle w:val="ListParagraph"/>
              <w:numPr>
                <w:ilvl w:val="0"/>
                <w:numId w:val="46"/>
              </w:numPr>
              <w:spacing w:after="0"/>
              <w:ind w:left="720" w:hanging="360"/>
              <w:jc w:val="both"/>
              <w:rPr>
                <w:rFonts w:eastAsia="Batang"/>
                <w:color w:val="000000"/>
                <w:lang w:val="en-GB"/>
              </w:rPr>
            </w:pPr>
            <w:r>
              <w:rPr>
                <w:rFonts w:eastAsia="Batang"/>
                <w:color w:val="000000"/>
                <w:lang w:val="en-GB"/>
              </w:rPr>
              <w:t>FFS: Whether it can be included in same PHR as legacy PH types</w:t>
            </w:r>
          </w:p>
          <w:p w14:paraId="39E050A4" w14:textId="139F87EB" w:rsidR="003B5405" w:rsidRPr="003B5405" w:rsidRDefault="003B5405" w:rsidP="003B5405">
            <w:pPr>
              <w:pStyle w:val="ListParagraph"/>
              <w:numPr>
                <w:ilvl w:val="0"/>
                <w:numId w:val="46"/>
              </w:numPr>
              <w:spacing w:after="0"/>
              <w:ind w:left="720" w:hanging="360"/>
              <w:jc w:val="both"/>
              <w:rPr>
                <w:rFonts w:eastAsia="Batang"/>
                <w:color w:val="000000"/>
                <w:lang w:val="en-GB"/>
              </w:rPr>
            </w:pPr>
            <w:r w:rsidRPr="003B5405">
              <w:rPr>
                <w:rFonts w:eastAsia="Batang"/>
                <w:color w:val="000000"/>
                <w:lang w:val="en-GB"/>
              </w:rPr>
              <w:t>FFS: Triggering of information</w:t>
            </w:r>
          </w:p>
        </w:tc>
      </w:tr>
    </w:tbl>
    <w:p w14:paraId="10B12965" w14:textId="6D438F82" w:rsidR="00C43AB6" w:rsidRDefault="00C43AB6" w:rsidP="0097081F">
      <w:pPr>
        <w:rPr>
          <w:lang w:val="en-GB"/>
        </w:rPr>
      </w:pPr>
    </w:p>
    <w:p w14:paraId="53E55028" w14:textId="03EE15A6" w:rsidR="009F5408" w:rsidRDefault="009F5408" w:rsidP="0097081F">
      <w:pPr>
        <w:rPr>
          <w:lang w:val="en-GB"/>
        </w:rPr>
      </w:pPr>
      <w:r>
        <w:rPr>
          <w:lang w:val="en-GB"/>
        </w:rPr>
        <w:t xml:space="preserve">Providing additional assistance information to gNB can help make better waveform switching decisions. Such PHR reporting enhancements as listed above can potentially offer some gain. However, such enhancements will also introduce additional signalling overhead. How much gain is expected by providing such additional PHR information needs to be quantified to better understand the benefits. </w:t>
      </w:r>
    </w:p>
    <w:p w14:paraId="5FC12FAF" w14:textId="00CA29BC" w:rsidR="009F5408" w:rsidRDefault="009F5408" w:rsidP="0097081F">
      <w:pPr>
        <w:rPr>
          <w:lang w:val="en-GB"/>
        </w:rPr>
      </w:pPr>
      <w:r>
        <w:rPr>
          <w:lang w:val="en-GB"/>
        </w:rPr>
        <w:t xml:space="preserve">We suggest that the study on such assistance information should continue to determine potential gains. We propose the following: </w:t>
      </w:r>
    </w:p>
    <w:p w14:paraId="377C7291" w14:textId="77777777" w:rsidR="003B5405" w:rsidRDefault="003B5405" w:rsidP="000C29E9">
      <w:pPr>
        <w:spacing w:after="0"/>
        <w:jc w:val="both"/>
        <w:rPr>
          <w:b/>
          <w:lang w:eastAsia="zh-TW"/>
        </w:rPr>
      </w:pPr>
    </w:p>
    <w:p w14:paraId="6FCD5974" w14:textId="11F91E03" w:rsidR="000C29E9" w:rsidRDefault="000C29E9" w:rsidP="000C29E9">
      <w:pPr>
        <w:spacing w:after="0"/>
        <w:jc w:val="both"/>
        <w:rPr>
          <w:color w:val="000000"/>
        </w:rPr>
      </w:pPr>
      <w:r>
        <w:rPr>
          <w:b/>
          <w:lang w:eastAsia="zh-TW"/>
        </w:rPr>
        <w:t xml:space="preserve">Proposal </w:t>
      </w:r>
      <w:r w:rsidR="003B5405">
        <w:rPr>
          <w:b/>
          <w:lang w:eastAsia="zh-TW"/>
        </w:rPr>
        <w:t>4</w:t>
      </w:r>
      <w:r w:rsidRPr="001F274F">
        <w:rPr>
          <w:b/>
          <w:lang w:eastAsia="zh-TW"/>
        </w:rPr>
        <w:t xml:space="preserve">: </w:t>
      </w:r>
      <w:r w:rsidR="003B5405">
        <w:rPr>
          <w:b/>
          <w:lang w:eastAsia="zh-TW"/>
        </w:rPr>
        <w:t xml:space="preserve">Potential performance gains by </w:t>
      </w:r>
      <w:r w:rsidR="004F5F3C">
        <w:rPr>
          <w:b/>
          <w:lang w:eastAsia="zh-TW"/>
        </w:rPr>
        <w:t xml:space="preserve">PHR enhancements should be justified </w:t>
      </w:r>
      <w:r w:rsidR="003B5405">
        <w:rPr>
          <w:b/>
          <w:lang w:eastAsia="zh-TW"/>
        </w:rPr>
        <w:t>against additional signaling overhead</w:t>
      </w:r>
      <w:r>
        <w:rPr>
          <w:b/>
          <w:lang w:eastAsia="zh-TW"/>
        </w:rPr>
        <w:t xml:space="preserve">. </w:t>
      </w:r>
    </w:p>
    <w:p w14:paraId="3063A206" w14:textId="77777777" w:rsidR="000C29E9" w:rsidRPr="0097081F" w:rsidRDefault="000C29E9"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lastRenderedPageBreak/>
        <w:t>Conclusions</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6DC03E37" w14:textId="031FAF6F" w:rsidR="004F5F3C" w:rsidRPr="004F5F3C" w:rsidRDefault="004F5F3C" w:rsidP="005F3658">
      <w:pPr>
        <w:jc w:val="both"/>
        <w:rPr>
          <w:b/>
          <w:lang w:eastAsia="zh-TW"/>
        </w:rPr>
      </w:pPr>
      <w:r>
        <w:rPr>
          <w:b/>
          <w:lang w:eastAsia="zh-TW"/>
        </w:rPr>
        <w:t>Proposal 1</w:t>
      </w:r>
      <w:r w:rsidRPr="001F274F">
        <w:rPr>
          <w:b/>
          <w:lang w:eastAsia="zh-TW"/>
        </w:rPr>
        <w:t xml:space="preserve">: </w:t>
      </w:r>
      <w:r>
        <w:rPr>
          <w:b/>
          <w:lang w:eastAsia="zh-TW"/>
        </w:rPr>
        <w:t>Do not support DCI format 0_0 for triggering dynamic waveform switching</w:t>
      </w:r>
      <w:r w:rsidR="005E19AF">
        <w:rPr>
          <w:b/>
          <w:lang w:eastAsia="zh-TW"/>
        </w:rPr>
        <w:t xml:space="preserve">. </w:t>
      </w:r>
    </w:p>
    <w:p w14:paraId="14FA3A4C" w14:textId="21D9001B" w:rsidR="005F3658" w:rsidRDefault="005F3658" w:rsidP="005F3658">
      <w:pPr>
        <w:jc w:val="both"/>
        <w:rPr>
          <w:b/>
          <w:lang w:eastAsia="zh-TW"/>
        </w:rPr>
      </w:pPr>
      <w:r>
        <w:rPr>
          <w:b/>
          <w:lang w:eastAsia="zh-TW"/>
        </w:rPr>
        <w:t>Proposal 2</w:t>
      </w:r>
      <w:r w:rsidRPr="001F274F">
        <w:rPr>
          <w:b/>
          <w:lang w:eastAsia="zh-TW"/>
        </w:rPr>
        <w:t>:</w:t>
      </w:r>
      <w:r>
        <w:rPr>
          <w:b/>
          <w:lang w:eastAsia="zh-TW"/>
        </w:rPr>
        <w:t xml:space="preserve"> Per-format alignment is preferred between two DCI with C-RNTI. </w:t>
      </w:r>
    </w:p>
    <w:p w14:paraId="5E9B3838" w14:textId="77777777" w:rsidR="005F3658" w:rsidRDefault="005F3658" w:rsidP="005F3658">
      <w:pPr>
        <w:jc w:val="both"/>
        <w:rPr>
          <w:b/>
          <w:bCs/>
          <w:color w:val="000000"/>
        </w:rPr>
      </w:pPr>
      <w:r>
        <w:rPr>
          <w:b/>
          <w:lang w:eastAsia="zh-TW"/>
        </w:rPr>
        <w:t>Proposal 3</w:t>
      </w:r>
      <w:r w:rsidRPr="001F274F">
        <w:rPr>
          <w:b/>
          <w:lang w:eastAsia="zh-TW"/>
        </w:rPr>
        <w:t>:</w:t>
      </w:r>
      <w:r>
        <w:rPr>
          <w:b/>
          <w:lang w:eastAsia="zh-TW"/>
        </w:rPr>
        <w:t xml:space="preserve"> Per-field alignment is preferred between DCI with C-RNTI and DCI with CS-RNTI.</w:t>
      </w:r>
    </w:p>
    <w:p w14:paraId="13CDD697" w14:textId="47252B47" w:rsidR="001C785E" w:rsidRDefault="003B5405" w:rsidP="001C785E">
      <w:pPr>
        <w:spacing w:after="0"/>
        <w:jc w:val="both"/>
        <w:rPr>
          <w:color w:val="000000"/>
        </w:rPr>
      </w:pPr>
      <w:r>
        <w:rPr>
          <w:b/>
          <w:lang w:eastAsia="zh-TW"/>
        </w:rPr>
        <w:t>Proposal 4</w:t>
      </w:r>
      <w:r w:rsidRPr="001F274F">
        <w:rPr>
          <w:b/>
          <w:lang w:eastAsia="zh-TW"/>
        </w:rPr>
        <w:t xml:space="preserve">: </w:t>
      </w:r>
      <w:r>
        <w:rPr>
          <w:b/>
          <w:lang w:eastAsia="zh-TW"/>
        </w:rPr>
        <w:t xml:space="preserve">Potential performance gains by PHR enhancements should be justified against additional signaling overhead.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56A937E9" w:rsidR="00054D44"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p w14:paraId="34D2B6DE" w14:textId="744E3B01" w:rsidR="007E3AB1" w:rsidRPr="00572B09" w:rsidRDefault="007E3AB1" w:rsidP="00BE2694">
      <w:pPr>
        <w:numPr>
          <w:ilvl w:val="0"/>
          <w:numId w:val="2"/>
        </w:numPr>
      </w:pPr>
      <w:r>
        <w:t>R1-2302222, “</w:t>
      </w:r>
      <w:r w:rsidRPr="007E3AB1">
        <w:t>Summary #4 on dynamic switching between DFT-S-OFDM and CP-OFDM</w:t>
      </w:r>
      <w:r>
        <w:t>”, March 2023.</w:t>
      </w:r>
    </w:p>
    <w:sectPr w:rsidR="007E3AB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3586" w14:textId="77777777" w:rsidR="00570DB0" w:rsidRDefault="00570DB0">
      <w:r>
        <w:separator/>
      </w:r>
    </w:p>
  </w:endnote>
  <w:endnote w:type="continuationSeparator" w:id="0">
    <w:p w14:paraId="54F5E6A5" w14:textId="77777777" w:rsidR="00570DB0" w:rsidRDefault="0057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Gulim">
    <w:altName w:val="굴림"/>
    <w:panose1 w:val="020B0600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21757" w14:textId="77777777" w:rsidR="00570DB0" w:rsidRDefault="00570DB0">
      <w:r>
        <w:separator/>
      </w:r>
    </w:p>
  </w:footnote>
  <w:footnote w:type="continuationSeparator" w:id="0">
    <w:p w14:paraId="4F404BEC" w14:textId="77777777" w:rsidR="00570DB0" w:rsidRDefault="00570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6"/>
  </w:num>
  <w:num w:numId="2" w16cid:durableId="770783937">
    <w:abstractNumId w:val="7"/>
  </w:num>
  <w:num w:numId="3" w16cid:durableId="1241284276">
    <w:abstractNumId w:val="35"/>
  </w:num>
  <w:num w:numId="4" w16cid:durableId="1961178633">
    <w:abstractNumId w:val="23"/>
  </w:num>
  <w:num w:numId="5" w16cid:durableId="1636370996">
    <w:abstractNumId w:val="32"/>
  </w:num>
  <w:num w:numId="6" w16cid:durableId="791367854">
    <w:abstractNumId w:val="9"/>
  </w:num>
  <w:num w:numId="7" w16cid:durableId="402029737">
    <w:abstractNumId w:val="34"/>
  </w:num>
  <w:num w:numId="8" w16cid:durableId="1685129733">
    <w:abstractNumId w:val="3"/>
  </w:num>
  <w:num w:numId="9" w16cid:durableId="1115053937">
    <w:abstractNumId w:val="11"/>
  </w:num>
  <w:num w:numId="10" w16cid:durableId="884215508">
    <w:abstractNumId w:val="40"/>
  </w:num>
  <w:num w:numId="11" w16cid:durableId="1078945869">
    <w:abstractNumId w:val="27"/>
  </w:num>
  <w:num w:numId="12" w16cid:durableId="930164769">
    <w:abstractNumId w:val="31"/>
  </w:num>
  <w:num w:numId="13" w16cid:durableId="443770028">
    <w:abstractNumId w:val="12"/>
  </w:num>
  <w:num w:numId="14" w16cid:durableId="311569556">
    <w:abstractNumId w:val="33"/>
  </w:num>
  <w:num w:numId="15" w16cid:durableId="1319571558">
    <w:abstractNumId w:val="24"/>
  </w:num>
  <w:num w:numId="16" w16cid:durableId="1218469968">
    <w:abstractNumId w:val="4"/>
  </w:num>
  <w:num w:numId="17" w16cid:durableId="662898375">
    <w:abstractNumId w:val="18"/>
  </w:num>
  <w:num w:numId="18" w16cid:durableId="67272076">
    <w:abstractNumId w:val="19"/>
  </w:num>
  <w:num w:numId="19" w16cid:durableId="1288317669">
    <w:abstractNumId w:val="16"/>
  </w:num>
  <w:num w:numId="20" w16cid:durableId="1636331525">
    <w:abstractNumId w:val="1"/>
  </w:num>
  <w:num w:numId="21" w16cid:durableId="833644937">
    <w:abstractNumId w:val="10"/>
  </w:num>
  <w:num w:numId="22" w16cid:durableId="75710353">
    <w:abstractNumId w:val="30"/>
  </w:num>
  <w:num w:numId="23" w16cid:durableId="1324360734">
    <w:abstractNumId w:val="29"/>
  </w:num>
  <w:num w:numId="24" w16cid:durableId="148637371">
    <w:abstractNumId w:val="38"/>
  </w:num>
  <w:num w:numId="25" w16cid:durableId="1708481264">
    <w:abstractNumId w:val="5"/>
  </w:num>
  <w:num w:numId="26" w16cid:durableId="2144763809">
    <w:abstractNumId w:val="21"/>
  </w:num>
  <w:num w:numId="27" w16cid:durableId="43990561">
    <w:abstractNumId w:val="25"/>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605159957">
    <w:abstractNumId w:val="6"/>
  </w:num>
  <w:num w:numId="36" w16cid:durableId="581840591">
    <w:abstractNumId w:val="6"/>
  </w:num>
  <w:num w:numId="37" w16cid:durableId="60032467">
    <w:abstractNumId w:val="15"/>
  </w:num>
  <w:num w:numId="38" w16cid:durableId="1331370575">
    <w:abstractNumId w:val="37"/>
  </w:num>
  <w:num w:numId="39" w16cid:durableId="1989823055">
    <w:abstractNumId w:val="36"/>
  </w:num>
  <w:num w:numId="40" w16cid:durableId="458306418">
    <w:abstractNumId w:val="20"/>
  </w:num>
  <w:num w:numId="41" w16cid:durableId="1720981083">
    <w:abstractNumId w:val="17"/>
  </w:num>
  <w:num w:numId="42" w16cid:durableId="900016428">
    <w:abstractNumId w:val="28"/>
  </w:num>
  <w:num w:numId="43" w16cid:durableId="976377899">
    <w:abstractNumId w:val="39"/>
  </w:num>
  <w:num w:numId="44" w16cid:durableId="1014457045">
    <w:abstractNumId w:val="20"/>
  </w:num>
  <w:num w:numId="45" w16cid:durableId="79571740">
    <w:abstractNumId w:val="22"/>
  </w:num>
  <w:num w:numId="46" w16cid:durableId="38869911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144"/>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14A"/>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312"/>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5D3B"/>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ACB"/>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1F4"/>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CE1"/>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116"/>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C33"/>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405"/>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15A"/>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5A2B"/>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2DD3"/>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230"/>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2D"/>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E5F"/>
    <w:rsid w:val="004F55B2"/>
    <w:rsid w:val="004F59A8"/>
    <w:rsid w:val="004F5AB7"/>
    <w:rsid w:val="004F5F3C"/>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696"/>
    <w:rsid w:val="00565AE7"/>
    <w:rsid w:val="00565D29"/>
    <w:rsid w:val="0056624B"/>
    <w:rsid w:val="00566847"/>
    <w:rsid w:val="005670C4"/>
    <w:rsid w:val="005676F5"/>
    <w:rsid w:val="00567937"/>
    <w:rsid w:val="00567E8A"/>
    <w:rsid w:val="00570C03"/>
    <w:rsid w:val="00570CE9"/>
    <w:rsid w:val="00570DB0"/>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9AF"/>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658"/>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B21"/>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CA2"/>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3AB1"/>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91A"/>
    <w:rsid w:val="00820C50"/>
    <w:rsid w:val="00820C8C"/>
    <w:rsid w:val="00820D3F"/>
    <w:rsid w:val="008215E2"/>
    <w:rsid w:val="00821830"/>
    <w:rsid w:val="00821FAC"/>
    <w:rsid w:val="00822512"/>
    <w:rsid w:val="00822E6A"/>
    <w:rsid w:val="00822E9D"/>
    <w:rsid w:val="00823592"/>
    <w:rsid w:val="00823A74"/>
    <w:rsid w:val="0082438B"/>
    <w:rsid w:val="008244BA"/>
    <w:rsid w:val="00824DBC"/>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133"/>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0908"/>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281"/>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4C8"/>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408"/>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97"/>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6E6"/>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EB2"/>
    <w:rsid w:val="00BC0F03"/>
    <w:rsid w:val="00BC0F87"/>
    <w:rsid w:val="00BC0FDD"/>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ABA"/>
    <w:rsid w:val="00BC7C82"/>
    <w:rsid w:val="00BD03F9"/>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196E"/>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3AB6"/>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98F"/>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D74"/>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6B7"/>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2C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5B"/>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5FD3"/>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41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6DD"/>
    <w:rsid w:val="00F73935"/>
    <w:rsid w:val="00F73BFA"/>
    <w:rsid w:val="00F73FC3"/>
    <w:rsid w:val="00F73FC4"/>
    <w:rsid w:val="00F741DB"/>
    <w:rsid w:val="00F744BB"/>
    <w:rsid w:val="00F74AA1"/>
    <w:rsid w:val="00F74F6F"/>
    <w:rsid w:val="00F74F8D"/>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405"/>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7001535">
      <w:bodyDiv w:val="1"/>
      <w:marLeft w:val="0"/>
      <w:marRight w:val="0"/>
      <w:marTop w:val="0"/>
      <w:marBottom w:val="0"/>
      <w:divBdr>
        <w:top w:val="none" w:sz="0" w:space="0" w:color="auto"/>
        <w:left w:val="none" w:sz="0" w:space="0" w:color="auto"/>
        <w:bottom w:val="none" w:sz="0" w:space="0" w:color="auto"/>
        <w:right w:val="none" w:sz="0" w:space="0" w:color="auto"/>
      </w:divBdr>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422662">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517300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86016348">
      <w:bodyDiv w:val="1"/>
      <w:marLeft w:val="0"/>
      <w:marRight w:val="0"/>
      <w:marTop w:val="0"/>
      <w:marBottom w:val="0"/>
      <w:divBdr>
        <w:top w:val="none" w:sz="0" w:space="0" w:color="auto"/>
        <w:left w:val="none" w:sz="0" w:space="0" w:color="auto"/>
        <w:bottom w:val="none" w:sz="0" w:space="0" w:color="auto"/>
        <w:right w:val="none" w:sz="0" w:space="0" w:color="auto"/>
      </w:divBdr>
    </w:div>
    <w:div w:id="99353316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4972968">
      <w:bodyDiv w:val="1"/>
      <w:marLeft w:val="0"/>
      <w:marRight w:val="0"/>
      <w:marTop w:val="0"/>
      <w:marBottom w:val="0"/>
      <w:divBdr>
        <w:top w:val="none" w:sz="0" w:space="0" w:color="auto"/>
        <w:left w:val="none" w:sz="0" w:space="0" w:color="auto"/>
        <w:bottom w:val="none" w:sz="0" w:space="0" w:color="auto"/>
        <w:right w:val="none" w:sz="0" w:space="0" w:color="auto"/>
      </w:divBdr>
    </w:div>
    <w:div w:id="1240868675">
      <w:bodyDiv w:val="1"/>
      <w:marLeft w:val="0"/>
      <w:marRight w:val="0"/>
      <w:marTop w:val="0"/>
      <w:marBottom w:val="0"/>
      <w:divBdr>
        <w:top w:val="none" w:sz="0" w:space="0" w:color="auto"/>
        <w:left w:val="none" w:sz="0" w:space="0" w:color="auto"/>
        <w:bottom w:val="none" w:sz="0" w:space="0" w:color="auto"/>
        <w:right w:val="none" w:sz="0" w:space="0" w:color="auto"/>
      </w:divBdr>
    </w:div>
    <w:div w:id="1254321700">
      <w:bodyDiv w:val="1"/>
      <w:marLeft w:val="0"/>
      <w:marRight w:val="0"/>
      <w:marTop w:val="0"/>
      <w:marBottom w:val="0"/>
      <w:divBdr>
        <w:top w:val="none" w:sz="0" w:space="0" w:color="auto"/>
        <w:left w:val="none" w:sz="0" w:space="0" w:color="auto"/>
        <w:bottom w:val="none" w:sz="0" w:space="0" w:color="auto"/>
        <w:right w:val="none" w:sz="0" w:space="0" w:color="auto"/>
      </w:divBdr>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8326434">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29390</TotalTime>
  <Pages>4</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2052</cp:revision>
  <cp:lastPrinted>2017-09-11T17:45:00Z</cp:lastPrinted>
  <dcterms:created xsi:type="dcterms:W3CDTF">2019-04-02T16:59:00Z</dcterms:created>
  <dcterms:modified xsi:type="dcterms:W3CDTF">2023-04-06T16:42:00Z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